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61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610"/>
      </w:tblGrid>
      <w:tr>
        <w:tc>
          <w:tcPr>
            <w:gridSpan w:val="2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7111F" w:val="clear"/>
            <w:tcMar>
              <w:top w:type="dxa" w:w="420"/>
              <w:left w:type="dxa" w:w="520"/>
              <w:bottom w:type="dxa" w:w="380"/>
              <w:right w:type="dxa" w:w="52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10"/>
                <w:sz w:val="68"/>
                <w:szCs w:val="68"/>
              </w:rPr>
              <w:t xml:space="preserve">MRABEH FATHI BOUSSAYFF</w:t>
            </w:r>
          </w:p>
          <w:p>
            <w:pPr>
              <w:spacing w:after="50" w:before="0"/>
            </w:pPr>
            <w:r>
              <w:rPr>
                <w:rFonts w:ascii="Arial" w:cs="Arial" w:eastAsia="Arial" w:hAnsi="Arial"/>
                <w:b w:val="false"/>
                <w:bCs w:val="false"/>
                <w:color w:val="2ABFA0"/>
                <w:sz w:val="21"/>
                <w:szCs w:val="21"/>
              </w:rPr>
              <w:t xml:space="preserve">Desarrollador Web  ·  Automatización Python  ·  Ciberseguridad  ·  Gestión Administrativa</w:t>
            </w:r>
          </w:p>
          <w:p>
            <w:pPr>
              <w:spacing w:after="0" w:before="50"/>
            </w:pPr>
            <w:r>
              <w:rPr>
                <w:rFonts w:ascii="Arial" w:cs="Arial" w:eastAsia="Arial" w:hAnsi="Arial"/>
                <w:i/>
                <w:iCs/>
                <w:color w:val="3B8FD4"/>
                <w:sz w:val="18"/>
                <w:szCs w:val="18"/>
              </w:rPr>
              <w:t xml:space="preserve">▶  Disponible para incorporación inmediata · Madrid</w:t>
            </w:r>
          </w:p>
        </w:tc>
      </w:tr>
    </w:tbl>
    <w:tbl>
      <w:tblPr>
        <w:tblW w:type="dxa" w:w="1061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00"/>
        <w:gridCol w:w="7510"/>
      </w:tblGrid>
      <w:tr>
        <w:tc>
          <w:tcPr>
            <w:tcW w:type="dxa" w:w="3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1E30" w:val="clear"/>
            <w:tcMar>
              <w:top w:type="dxa" w:w="300"/>
              <w:left w:type="dxa" w:w="360"/>
              <w:bottom w:type="dxa" w:w="300"/>
              <w:right w:type="dxa" w:w="320"/>
            </w:tcMar>
            <w:vAlign w:val="top"/>
          </w:tcPr>
          <w:p>
            <w:pPr>
              <w:pBdr>
                <w:bottom w:val="single" w:color="2ABFA0" w:sz="5" w:space="2"/>
              </w:pBdr>
              <w:spacing w:after="80" w:before="260"/>
            </w:pPr>
            <w:r>
              <w:rPr>
                <w:rFonts w:ascii="Arial" w:cs="Arial" w:eastAsia="Arial" w:hAnsi="Arial"/>
                <w:b/>
                <w:bCs/>
                <w:caps/>
                <w:color w:val="2ABFA0"/>
                <w:spacing w:val="30"/>
                <w:sz w:val="17"/>
                <w:szCs w:val="17"/>
              </w:rPr>
              <w:t xml:space="preserve">Contacto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📱  605 38 86 86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✉  mrabehfathi@gmail.com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🌐  mrabehfathi.com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💼  linkedin.com/in/mrabehfathi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🐙  github.com/Marbi8891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📍  Leganés, Madrid</w:t>
            </w:r>
          </w:p>
          <w:p>
            <w:pPr>
              <w:pBdr>
                <w:bottom w:val="single" w:color="2ABFA0" w:sz="5" w:space="2"/>
              </w:pBdr>
              <w:spacing w:after="80" w:before="260"/>
            </w:pPr>
            <w:r>
              <w:rPr>
                <w:rFonts w:ascii="Arial" w:cs="Arial" w:eastAsia="Arial" w:hAnsi="Arial"/>
                <w:b/>
                <w:bCs/>
                <w:caps/>
                <w:color w:val="2ABFA0"/>
                <w:spacing w:val="30"/>
                <w:sz w:val="17"/>
                <w:szCs w:val="17"/>
              </w:rPr>
              <w:t xml:space="preserve">Tecnologías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Python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HTML5 · CSS3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JavaScript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SQL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Git &amp; GitHub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Linux / Bash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FastAPI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Automatización</w:t>
            </w:r>
          </w:p>
          <w:p>
            <w:pPr>
              <w:pBdr>
                <w:bottom w:val="single" w:color="2ABFA0" w:sz="5" w:space="2"/>
              </w:pBdr>
              <w:spacing w:after="80" w:before="260"/>
            </w:pPr>
            <w:r>
              <w:rPr>
                <w:rFonts w:ascii="Arial" w:cs="Arial" w:eastAsia="Arial" w:hAnsi="Arial"/>
                <w:b/>
                <w:bCs/>
                <w:caps/>
                <w:color w:val="2ABFA0"/>
                <w:spacing w:val="30"/>
                <w:sz w:val="17"/>
                <w:szCs w:val="17"/>
              </w:rPr>
              <w:t xml:space="preserve">Ofimática &amp; Gestión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Word · Excel · Access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PowerPoint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ContaPlus · NominaPlus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FacturaPlus</w:t>
            </w:r>
          </w:p>
          <w:p>
            <w:pPr>
              <w:pBdr>
                <w:bottom w:val="single" w:color="2ABFA0" w:sz="5" w:space="2"/>
              </w:pBdr>
              <w:spacing w:after="80" w:before="260"/>
            </w:pPr>
            <w:r>
              <w:rPr>
                <w:rFonts w:ascii="Arial" w:cs="Arial" w:eastAsia="Arial" w:hAnsi="Arial"/>
                <w:b/>
                <w:bCs/>
                <w:caps/>
                <w:color w:val="2ABFA0"/>
                <w:spacing w:val="30"/>
                <w:sz w:val="17"/>
                <w:szCs w:val="17"/>
              </w:rPr>
              <w:t xml:space="preserve">Idiomas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Español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Nivel nativo</w:t>
            </w:r>
          </w:p>
          <w:p>
            <w:pPr>
              <w:spacing w:after="30" w:before="0"/>
            </w:pPr>
            <w:r>
              <w:t xml:space="preserve"/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Árabe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Nivel nativo</w:t>
            </w:r>
          </w:p>
          <w:p>
            <w:pPr>
              <w:spacing w:after="30" w:before="0"/>
            </w:pPr>
            <w:r>
              <w:t xml:space="preserve"/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Inglés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Nivel intermedio</w:t>
            </w:r>
          </w:p>
          <w:p>
            <w:pPr>
              <w:pBdr>
                <w:bottom w:val="single" w:color="2ABFA0" w:sz="5" w:space="2"/>
              </w:pBdr>
              <w:spacing w:after="80" w:before="260"/>
            </w:pPr>
            <w:r>
              <w:rPr>
                <w:rFonts w:ascii="Arial" w:cs="Arial" w:eastAsia="Arial" w:hAnsi="Arial"/>
                <w:b/>
                <w:bCs/>
                <w:caps/>
                <w:color w:val="2ABFA0"/>
                <w:spacing w:val="30"/>
                <w:sz w:val="17"/>
                <w:szCs w:val="17"/>
              </w:rPr>
              <w:t xml:space="preserve">Formación Complementaria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eJPT (en progreso)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Seguridad ofensiva</w:t>
            </w:r>
          </w:p>
          <w:p>
            <w:pPr>
              <w:spacing w:after="30" w:before="0"/>
            </w:pPr>
            <w:r>
              <w:t xml:space="preserve"/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/>
                <w:bCs/>
                <w:color w:val="CADDF2"/>
                <w:sz w:val="17"/>
                <w:szCs w:val="17"/>
              </w:rPr>
              <w:t xml:space="preserve">OSCP (hoja de ruta)</w:t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Pentesting avanzado</w:t>
            </w:r>
          </w:p>
          <w:p>
            <w:pPr>
              <w:spacing w:after="30" w:before="0"/>
            </w:pPr>
            <w:r>
              <w:t xml:space="preserve"/>
            </w:r>
          </w:p>
          <w:p>
            <w:pPr>
              <w:spacing w:after="55" w:before="55"/>
            </w:pPr>
            <w:r>
              <w:rPr>
                <w:rFonts w:ascii="Arial" w:cs="Arial" w:eastAsia="Arial" w:hAnsi="Arial"/>
                <w:b w:val="false"/>
                <w:bCs w:val="false"/>
                <w:color w:val="CADDF2"/>
                <w:sz w:val="17"/>
                <w:szCs w:val="17"/>
              </w:rPr>
              <w:t xml:space="preserve">HackTheBox · TryHackMe</w:t>
            </w:r>
          </w:p>
          <w:p>
            <w:pPr>
              <w:pBdr>
                <w:bottom w:val="single" w:color="2ABFA0" w:sz="5" w:space="2"/>
              </w:pBdr>
              <w:spacing w:after="80" w:before="260"/>
            </w:pPr>
            <w:r>
              <w:rPr>
                <w:rFonts w:ascii="Arial" w:cs="Arial" w:eastAsia="Arial" w:hAnsi="Arial"/>
                <w:b/>
                <w:bCs/>
                <w:caps/>
                <w:color w:val="2ABFA0"/>
                <w:spacing w:val="30"/>
                <w:sz w:val="17"/>
                <w:szCs w:val="17"/>
              </w:rPr>
              <w:t xml:space="preserve">Logros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50" w:before="50"/>
            </w:pPr>
            <w:r>
              <w:rPr>
                <w:rFonts w:ascii="Arial" w:cs="Arial" w:eastAsia="Arial" w:hAnsi="Arial"/>
                <w:color w:val="CADDF2"/>
                <w:sz w:val="17"/>
                <w:szCs w:val="17"/>
              </w:rPr>
              <w:t xml:space="preserve">3er Premio AULA 2011 · El Mundo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50" w:before="50"/>
            </w:pPr>
            <w:r>
              <w:rPr>
                <w:rFonts w:ascii="Arial" w:cs="Arial" w:eastAsia="Arial" w:hAnsi="Arial"/>
                <w:color w:val="CADDF2"/>
                <w:sz w:val="17"/>
                <w:szCs w:val="17"/>
              </w:rPr>
              <w:t xml:space="preserve">Publicación "No digas discapacidad, di capacidad"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50" w:before="50"/>
            </w:pPr>
            <w:r>
              <w:rPr>
                <w:rFonts w:ascii="Arial" w:cs="Arial" w:eastAsia="Arial" w:hAnsi="Arial"/>
                <w:color w:val="CADDF2"/>
                <w:sz w:val="17"/>
                <w:szCs w:val="17"/>
              </w:rPr>
              <w:t xml:space="preserve">Certificado de discapacidad &gt; 33%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50" w:before="50"/>
            </w:pPr>
            <w:r>
              <w:rPr>
                <w:rFonts w:ascii="Arial" w:cs="Arial" w:eastAsia="Arial" w:hAnsi="Arial"/>
                <w:color w:val="CADDF2"/>
                <w:sz w:val="17"/>
                <w:szCs w:val="17"/>
              </w:rPr>
              <w:t xml:space="preserve">PRL — Nivel básico acreditado</w:t>
            </w:r>
          </w:p>
        </w:tc>
        <w:tc>
          <w:tcPr>
            <w:tcW w:type="dxa" w:w="7510"/>
            <w:tcBorders>
              <w:top w:val="none" w:color="FFFFFF" w:sz="0"/>
              <w:left w:val="single" w:color="2ABFA0" w:sz="6"/>
              <w:bottom w:val="none" w:color="FFFFFF" w:sz="0"/>
              <w:right w:val="none" w:color="FFFFFF" w:sz="0"/>
            </w:tcBorders>
            <w:shd w:fill="FFFFFF" w:val="clear"/>
            <w:tcMar>
              <w:top w:type="dxa" w:w="300"/>
              <w:left w:type="dxa" w:w="400"/>
              <w:bottom w:type="dxa" w:w="300"/>
              <w:right w:type="dxa" w:w="320"/>
            </w:tcMar>
            <w:vAlign w:val="top"/>
          </w:tcPr>
          <w:p>
            <w:pPr>
              <w:pBdr>
                <w:bottom w:val="single" w:color="3B8FD4" w:sz="8" w:space="2"/>
              </w:pBdr>
              <w:spacing w:after="110" w:before="260"/>
            </w:pPr>
            <w:r>
              <w:rPr>
                <w:rFonts w:ascii="Arial" w:cs="Arial" w:eastAsia="Arial" w:hAnsi="Arial"/>
                <w:b/>
                <w:bCs/>
                <w:caps/>
                <w:color w:val="07111F"/>
                <w:spacing w:val="25"/>
                <w:sz w:val="20"/>
                <w:szCs w:val="20"/>
              </w:rPr>
              <w:t xml:space="preserve">Perfil Profesional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Profesional con sólida trayectoria en gestión administrativa y experiencia internacional, en transición activa hacia el desarrollo web y la ciberseguridad. Combino una base técnica real — proyectos propios en GitHub, formación oficial en DAW + DAM y práctica en laboratorios de seguridad — con la disciplina y la visión de proceso adquiridas en entornos operativos exigentes. Disponible para incorporación inmediata.</w:t>
            </w:r>
          </w:p>
          <w:p>
            <w:pPr>
              <w:pBdr>
                <w:bottom w:val="single" w:color="3B8FD4" w:sz="8" w:space="2"/>
              </w:pBdr>
              <w:spacing w:after="110" w:before="260"/>
            </w:pPr>
            <w:r>
              <w:rPr>
                <w:rFonts w:ascii="Arial" w:cs="Arial" w:eastAsia="Arial" w:hAnsi="Arial"/>
                <w:b/>
                <w:bCs/>
                <w:caps/>
                <w:color w:val="07111F"/>
                <w:spacing w:val="25"/>
                <w:sz w:val="20"/>
                <w:szCs w:val="20"/>
              </w:rPr>
              <w:t xml:space="preserve">Formación Oficial</w:t>
            </w:r>
          </w:p>
          <w:p>
            <w:pPr>
              <w:spacing w:after="30" w:before="18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Grado Superior DAW + Doble DAM</w:t>
            </w:r>
          </w:p>
          <w:p>
            <w:pPr>
              <w:spacing w:after="30" w:before="0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FP Aspasia · Escuela Alcazarén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·  2025 – 2028</w:t>
            </w:r>
          </w:p>
          <w:p>
            <w:pPr>
              <w:spacing w:after="60" w:before="30"/>
            </w:pP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Desarrollo de Aplicaciones Web + Desarrollo de Aplicaciones Multiplataforma. Doble titulación oficial, Ministerio de Educación de España.</w:t>
            </w:r>
          </w:p>
          <w:p>
            <w:pPr>
              <w:spacing w:after="30" w:before="18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Técnico en Gestión Administrativa</w:t>
            </w:r>
          </w:p>
          <w:p>
            <w:pPr>
              <w:spacing w:after="30" w:before="0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IES Pablo Neruda · Leganés, Madrid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·  2012 – 2015</w:t>
            </w:r>
          </w:p>
          <w:p>
            <w:pPr>
              <w:spacing w:after="60" w:before="30"/>
            </w:pP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Título oficial de la Comunidad de Madrid. Reg. CM-B-508143.</w:t>
            </w:r>
          </w:p>
          <w:p>
            <w:pPr>
              <w:spacing w:after="30" w:before="18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PCPI · Servicios Auxiliares en Gestión Administrativa</w:t>
            </w:r>
          </w:p>
          <w:p>
            <w:pPr>
              <w:spacing w:after="30" w:before="0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IES Pablo Neruda · Leganés, Madrid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·  2010 – 2012</w:t>
            </w:r>
          </w:p>
          <w:p>
            <w:pPr>
              <w:pBdr>
                <w:bottom w:val="single" w:color="3B8FD4" w:sz="8" w:space="2"/>
              </w:pBdr>
              <w:spacing w:after="110" w:before="260"/>
            </w:pPr>
            <w:r>
              <w:rPr>
                <w:rFonts w:ascii="Arial" w:cs="Arial" w:eastAsia="Arial" w:hAnsi="Arial"/>
                <w:b/>
                <w:bCs/>
                <w:caps/>
                <w:color w:val="07111F"/>
                <w:spacing w:val="25"/>
                <w:sz w:val="20"/>
                <w:szCs w:val="20"/>
              </w:rPr>
              <w:t xml:space="preserve">Experiencia Laboral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Obras Subterráneas S.A.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Ene 2025 – Mar 2025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Neom, Arabia Saudí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Gestión de personal, nóminas y vacaciones en entorno internacional de obra.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Control y seguimiento de materiales de obra pública en proyecto NEOM.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Construcciones Sánchez Domínguez SANDO S.A.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Oct 2023 – Dic 2023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Tareas administrativas de justificación de gastos de obra pública.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Gestión documental de proyectos de mejora de instalaciones públicas.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Oficina de Atención al Inmigrante · La Rueca Asociación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Atención directa a personas migrantes en la oficina del Ayuntamiento de Madrid.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Fundación COCEMFE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May 2022 – Jun 2022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Madrid – Atocha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Gestión del servicio de atención a personas con movilidad reducida de ADIF en Madrid-Atocha.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Área de Salud Laboral · Ayuntamiento de Leganés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Abr 2021 – Oct 2021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Leganés,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Atención a empleados y gestión integral de documentación.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Revisión de expedientes de reconocimientos médicos e incapacidades temporales.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Contesta Teleservicios S.A.U.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Feb 2021 – Mar 2021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Atención al asegurado ASISA: resolución de dudas sobre pólizas.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Emisión de autorizaciones para pruebas diagnósticas y actualización del cuadro médico.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SERITELCO · Servicios Sociales de Telecomunicaciones S.L.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Dic 2020 – Ene 2021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Atención y gestión de llamadas de conductores y gestorías en asuntos relativos a la DGT.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C.A.M.F. · Centro de Atención a Minusválidos Físicos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Jun 2020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Leganés,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Reparto de nóminas, atención a empleados y redacción de comunicaciones.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Conciliación bancaria.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Agencia Local de Empleo y Formación · Ayto. Getafe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Dic 2017 – Jun 2018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Getafe,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Atención a visitas y derivación a profesionales correspondientes.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Confección de comunicaciones internas y externas. Redacción de pliegos de contratación pública.</w:t>
            </w:r>
          </w:p>
          <w:p>
            <w:pPr>
              <w:spacing w:after="35" w:before="20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Servicio de Atención al Ciudadano · Ayto. Leganés</w:t>
            </w:r>
            <w:r>
              <w:rPr>
                <w:rFonts w:ascii="Arial" w:cs="Arial" w:eastAsia="Arial" w:hAnsi="Arial"/>
                <w:i/>
                <w:iCs/>
                <w:color w:val="64748B"/>
                <w:sz w:val="17"/>
                <w:szCs w:val="17"/>
              </w:rPr>
              <w:t xml:space="preserve">    Mar 2015 – Jun 2015</w:t>
            </w:r>
          </w:p>
          <w:p>
            <w:pPr>
              <w:spacing w:after="45" w:before="0"/>
            </w:pPr>
            <w:r>
              <w:rPr>
                <w:rFonts w:ascii="Arial" w:cs="Arial" w:eastAsia="Arial" w:hAnsi="Arial"/>
                <w:i/>
                <w:iCs/>
                <w:color w:val="2ABFA0"/>
                <w:sz w:val="17"/>
                <w:szCs w:val="17"/>
              </w:rPr>
              <w:t xml:space="preserve">📍 Leganés,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Revisión y grabación de datos en ficheros del INE para actualización del padrón municipal.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Actualización de la base de datos del Servicio de Atención al Ciudadano.</w:t>
            </w:r>
          </w:p>
          <w:p>
            <w:pPr>
              <w:pBdr>
                <w:bottom w:val="single" w:color="3B8FD4" w:sz="8" w:space="2"/>
              </w:pBdr>
              <w:spacing w:after="110" w:before="260"/>
            </w:pPr>
            <w:r>
              <w:rPr>
                <w:rFonts w:ascii="Arial" w:cs="Arial" w:eastAsia="Arial" w:hAnsi="Arial"/>
                <w:b/>
                <w:bCs/>
                <w:caps/>
                <w:color w:val="07111F"/>
                <w:spacing w:val="25"/>
                <w:sz w:val="20"/>
                <w:szCs w:val="20"/>
              </w:rPr>
              <w:t xml:space="preserve">Competencias Clave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Gestión documental y administrativa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Procedimientos y contratación pública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Atención al ciudadano y resolución de incidencias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Trabajo autónomo y bajo presión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Capacidad de aprendizaje rápido y autodidactismo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8" w:before="38"/>
            </w:pPr>
            <w:r>
              <w:rPr>
                <w:rFonts w:ascii="Arial" w:cs="Arial" w:eastAsia="Arial" w:hAnsi="Arial"/>
                <w:color w:val="374151"/>
                <w:sz w:val="18"/>
                <w:szCs w:val="18"/>
              </w:rPr>
              <w:t xml:space="preserve">Comunicación clara en entornos multiculturales</w:t>
            </w:r>
          </w:p>
        </w:tc>
      </w:tr>
    </w:tbl>
    <w:sectPr>
      <w:pgSz w:w="11906" w:h="16838" w:orient="portrait"/>
      <w:pgMar w:top="0" w:right="648" w:bottom="648" w:left="648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380" w:hanging="22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·"/>
      <w:lvlJc w:val="left"/>
      <w:pPr>
        <w:ind w:left="280" w:hanging="18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2026-04-02T11:13:33.162Z</dcterms:created>
  <dcterms:modified xsi:type="dcterms:W3CDTF">2026-04-02T11:13:33.163Z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